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077C0" w14:textId="77777777" w:rsidR="005A58B6" w:rsidRPr="00166B21" w:rsidRDefault="005A58B6" w:rsidP="005A58B6">
      <w:pPr>
        <w:spacing w:line="240" w:lineRule="auto"/>
        <w:contextualSpacing/>
        <w:rPr>
          <w:rFonts w:cs="Times New Roman"/>
          <w:b/>
          <w:bCs/>
          <w:u w:val="single"/>
        </w:rPr>
      </w:pPr>
      <w:r w:rsidRPr="00166B21">
        <w:rPr>
          <w:rFonts w:cs="Times New Roman"/>
          <w:b/>
          <w:bCs/>
          <w:u w:val="single"/>
        </w:rPr>
        <w:t>1</w:t>
      </w:r>
      <w:r w:rsidRPr="00166B21">
        <w:rPr>
          <w:rFonts w:cs="Times New Roman"/>
          <w:b/>
          <w:bCs/>
          <w:u w:val="single"/>
          <w:vertAlign w:val="superscript"/>
        </w:rPr>
        <w:t>st</w:t>
      </w:r>
      <w:r w:rsidRPr="00166B21">
        <w:rPr>
          <w:rFonts w:cs="Times New Roman"/>
          <w:b/>
          <w:bCs/>
          <w:u w:val="single"/>
        </w:rPr>
        <w:t xml:space="preserve"> Q 2024 ECON-1 Project Reporting</w:t>
      </w:r>
    </w:p>
    <w:p w14:paraId="41BEC59C" w14:textId="77777777" w:rsidR="005A58B6" w:rsidRDefault="005A58B6" w:rsidP="005A58B6">
      <w:pPr>
        <w:spacing w:line="240" w:lineRule="auto"/>
        <w:contextualSpacing/>
        <w:rPr>
          <w:rFonts w:cs="Times New Roman"/>
        </w:rPr>
      </w:pPr>
    </w:p>
    <w:p w14:paraId="4EAFC8BD" w14:textId="77777777" w:rsidR="005A58B6" w:rsidRDefault="005A58B6" w:rsidP="005A58B6">
      <w:pPr>
        <w:ind w:left="1440" w:hanging="1440"/>
        <w:rPr>
          <w:rFonts w:cs="Times New Roman"/>
        </w:rPr>
      </w:pPr>
      <w:r w:rsidRPr="009E5F1A">
        <w:rPr>
          <w:rFonts w:cs="Times New Roman"/>
        </w:rPr>
        <w:t>STF-17-1</w:t>
      </w:r>
      <w:r>
        <w:rPr>
          <w:rFonts w:cs="Times New Roman"/>
        </w:rPr>
        <w:tab/>
        <w:t>As part of AGL’s responses to Staff’s 15</w:t>
      </w:r>
      <w:r w:rsidRPr="001A6BEF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Set of Data Requests, AGL used the format in </w:t>
      </w:r>
      <w:r w:rsidRPr="00214500">
        <w:rPr>
          <w:rFonts w:cs="Times New Roman"/>
          <w:b/>
          <w:bCs/>
        </w:rPr>
        <w:t>Table-</w:t>
      </w:r>
      <w:r>
        <w:rPr>
          <w:rFonts w:cs="Times New Roman"/>
          <w:b/>
          <w:bCs/>
        </w:rPr>
        <w:t>ECON-</w:t>
      </w:r>
      <w:r w:rsidRPr="00214500">
        <w:rPr>
          <w:rFonts w:cs="Times New Roman"/>
          <w:b/>
          <w:bCs/>
        </w:rPr>
        <w:t>1</w:t>
      </w:r>
      <w:r>
        <w:rPr>
          <w:rFonts w:cs="Times New Roman"/>
        </w:rPr>
        <w:t xml:space="preserve"> below to discuss ECON-1 projects. </w:t>
      </w:r>
    </w:p>
    <w:p w14:paraId="48B4D70C" w14:textId="77777777" w:rsidR="005A58B6" w:rsidRPr="00214500" w:rsidRDefault="005A58B6" w:rsidP="005A58B6">
      <w:pPr>
        <w:spacing w:line="240" w:lineRule="auto"/>
        <w:ind w:left="1440" w:hanging="1440"/>
        <w:contextualSpacing/>
        <w:rPr>
          <w:rFonts w:cs="Times New Roman"/>
          <w:b/>
          <w:bCs/>
        </w:rPr>
      </w:pPr>
      <w:r w:rsidRPr="00214500">
        <w:rPr>
          <w:rFonts w:cs="Times New Roman"/>
          <w:b/>
          <w:bCs/>
        </w:rPr>
        <w:t>Table-</w:t>
      </w:r>
      <w:r>
        <w:rPr>
          <w:rFonts w:cs="Times New Roman"/>
          <w:b/>
          <w:bCs/>
        </w:rPr>
        <w:t>ECON-</w:t>
      </w:r>
      <w:r w:rsidRPr="00214500">
        <w:rPr>
          <w:rFonts w:cs="Times New Roman"/>
          <w:b/>
          <w:bCs/>
        </w:rPr>
        <w:t>1</w:t>
      </w:r>
    </w:p>
    <w:p w14:paraId="5CAABFC6" w14:textId="77777777" w:rsidR="005A58B6" w:rsidRDefault="005A58B6" w:rsidP="005A58B6">
      <w:pPr>
        <w:ind w:left="1440" w:hanging="1440"/>
        <w:rPr>
          <w:rFonts w:cs="Times New Roman"/>
        </w:rPr>
      </w:pPr>
      <w:r w:rsidRPr="009E5F1A">
        <w:rPr>
          <w:noProof/>
        </w:rPr>
        <w:drawing>
          <wp:inline distT="0" distB="0" distL="0" distR="0" wp14:anchorId="3511EF35" wp14:editId="0C1297A7">
            <wp:extent cx="5943600" cy="830580"/>
            <wp:effectExtent l="0" t="0" r="0" b="7620"/>
            <wp:docPr id="10828897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88972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BF5A9" w14:textId="77777777" w:rsidR="005A58B6" w:rsidRDefault="005A58B6" w:rsidP="005A58B6">
      <w:pPr>
        <w:ind w:left="1440"/>
        <w:rPr>
          <w:rFonts w:cs="Times New Roman"/>
        </w:rPr>
      </w:pPr>
      <w:r>
        <w:rPr>
          <w:rFonts w:cs="Times New Roman"/>
        </w:rPr>
        <w:t>In an electronic Excel spreadsheet, p</w:t>
      </w:r>
      <w:r w:rsidRPr="00F9590F">
        <w:rPr>
          <w:rFonts w:cs="Times New Roman"/>
        </w:rPr>
        <w:t xml:space="preserve">lease answer the following related </w:t>
      </w:r>
      <w:r>
        <w:rPr>
          <w:rFonts w:cs="Times New Roman"/>
        </w:rPr>
        <w:t>to the projects in</w:t>
      </w:r>
      <w:r w:rsidRPr="00F9590F">
        <w:rPr>
          <w:rFonts w:cs="Times New Roman"/>
        </w:rPr>
        <w:t xml:space="preserve"> </w:t>
      </w:r>
      <w:r w:rsidRPr="00F9590F">
        <w:rPr>
          <w:rFonts w:cs="Times New Roman"/>
          <w:b/>
          <w:bCs/>
        </w:rPr>
        <w:t>Table-</w:t>
      </w:r>
      <w:r>
        <w:rPr>
          <w:rFonts w:cs="Times New Roman"/>
          <w:b/>
          <w:bCs/>
        </w:rPr>
        <w:t>ECON-</w:t>
      </w:r>
      <w:r w:rsidRPr="00F9590F">
        <w:rPr>
          <w:rFonts w:cs="Times New Roman"/>
          <w:b/>
          <w:bCs/>
        </w:rPr>
        <w:t>1</w:t>
      </w:r>
      <w:r w:rsidRPr="00F9590F">
        <w:rPr>
          <w:rFonts w:cs="Times New Roman"/>
        </w:rPr>
        <w:t>:</w:t>
      </w:r>
    </w:p>
    <w:p w14:paraId="1D5C08FF" w14:textId="77777777" w:rsidR="005A58B6" w:rsidRPr="00932E4F" w:rsidRDefault="005A58B6" w:rsidP="005A58B6">
      <w:pPr>
        <w:pStyle w:val="ListParagraph"/>
        <w:numPr>
          <w:ilvl w:val="0"/>
          <w:numId w:val="23"/>
        </w:numPr>
        <w:rPr>
          <w:rFonts w:cs="Times New Roman"/>
        </w:rPr>
      </w:pPr>
      <w:r>
        <w:rPr>
          <w:rFonts w:cs="Times New Roman"/>
        </w:rPr>
        <w:t xml:space="preserve">For each completed project, please provide the </w:t>
      </w:r>
      <w:r w:rsidRPr="006C6FB5">
        <w:rPr>
          <w:rFonts w:cs="Times New Roman"/>
          <w:u w:val="single"/>
        </w:rPr>
        <w:t>date it was placed in service</w:t>
      </w:r>
      <w:r>
        <w:rPr>
          <w:rFonts w:cs="Times New Roman"/>
        </w:rPr>
        <w:t xml:space="preserve">. </w:t>
      </w:r>
    </w:p>
    <w:p w14:paraId="6ED1E5BE" w14:textId="77777777" w:rsidR="005A58B6" w:rsidRPr="00932E4F" w:rsidRDefault="005A58B6" w:rsidP="005A58B6">
      <w:pPr>
        <w:pStyle w:val="ListParagraph"/>
        <w:numPr>
          <w:ilvl w:val="0"/>
          <w:numId w:val="23"/>
        </w:numPr>
        <w:rPr>
          <w:rFonts w:cs="Times New Roman"/>
        </w:rPr>
      </w:pPr>
      <w:r>
        <w:rPr>
          <w:rFonts w:cs="Times New Roman"/>
        </w:rPr>
        <w:t xml:space="preserve">For each completed project, please provide the </w:t>
      </w:r>
      <w:r w:rsidRPr="006C6FB5">
        <w:rPr>
          <w:rFonts w:cs="Times New Roman"/>
          <w:u w:val="single"/>
        </w:rPr>
        <w:t>actual cost of construction with AFUDC and Overheads</w:t>
      </w:r>
      <w:r>
        <w:rPr>
          <w:rFonts w:cs="Times New Roman"/>
        </w:rPr>
        <w:t xml:space="preserve">. </w:t>
      </w:r>
    </w:p>
    <w:p w14:paraId="05679254" w14:textId="77777777" w:rsidR="005A58B6" w:rsidRPr="00932E4F" w:rsidRDefault="005A58B6" w:rsidP="005A58B6">
      <w:pPr>
        <w:pStyle w:val="ListParagraph"/>
        <w:numPr>
          <w:ilvl w:val="0"/>
          <w:numId w:val="23"/>
        </w:numPr>
        <w:rPr>
          <w:rFonts w:cs="Times New Roman"/>
        </w:rPr>
      </w:pPr>
      <w:r>
        <w:rPr>
          <w:rFonts w:cs="Times New Roman"/>
        </w:rPr>
        <w:t xml:space="preserve">For each completed project, please provide the </w:t>
      </w:r>
      <w:r w:rsidRPr="006C6FB5">
        <w:rPr>
          <w:rFonts w:cs="Times New Roman"/>
          <w:u w:val="single"/>
        </w:rPr>
        <w:t>actual feet of pipe installed</w:t>
      </w:r>
      <w:r>
        <w:rPr>
          <w:rFonts w:cs="Times New Roman"/>
        </w:rPr>
        <w:t xml:space="preserve">. </w:t>
      </w:r>
    </w:p>
    <w:p w14:paraId="71654DFF" w14:textId="77777777" w:rsidR="005A58B6" w:rsidRPr="00166B21" w:rsidRDefault="005A58B6" w:rsidP="005A58B6">
      <w:pPr>
        <w:pStyle w:val="ListParagraph"/>
        <w:numPr>
          <w:ilvl w:val="0"/>
          <w:numId w:val="23"/>
        </w:numPr>
        <w:rPr>
          <w:rFonts w:cs="Times New Roman"/>
        </w:rPr>
      </w:pPr>
      <w:r>
        <w:rPr>
          <w:rFonts w:cs="Times New Roman"/>
        </w:rPr>
        <w:t xml:space="preserve">For any projects not completed, please provide the total costs spent to date, the pipe in feet completed, and the estimated completion date. </w:t>
      </w:r>
    </w:p>
    <w:p w14:paraId="1BEF17ED" w14:textId="6981F504" w:rsidR="005A58B6" w:rsidRDefault="005A58B6" w:rsidP="005A58B6">
      <w:pPr>
        <w:pStyle w:val="PlainText"/>
        <w:shd w:val="clear" w:color="auto" w:fill="BFBFBF" w:themeFill="background1" w:themeFillShade="BF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3E7599D8" w14:textId="77777777" w:rsidR="005A58B6" w:rsidRPr="007D6ECA" w:rsidRDefault="005A58B6" w:rsidP="005A58B6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B648B0" w14:textId="3D719D4E" w:rsidR="005A58B6" w:rsidRPr="00B3358B" w:rsidRDefault="00B3358B" w:rsidP="007E17B4">
      <w:pPr>
        <w:spacing w:after="0" w:line="240" w:lineRule="auto"/>
        <w:ind w:left="720" w:firstLine="720"/>
        <w:jc w:val="both"/>
      </w:pPr>
      <w:r>
        <w:t>Please see Attachment STF-17-1 for responses to STF-17-1 a through d.</w:t>
      </w:r>
    </w:p>
    <w:p w14:paraId="5C0F5423" w14:textId="77777777" w:rsidR="005A58B6" w:rsidRDefault="005A58B6" w:rsidP="005A58B6">
      <w:pPr>
        <w:spacing w:after="0" w:line="240" w:lineRule="auto"/>
      </w:pPr>
    </w:p>
    <w:p w14:paraId="00ED6791" w14:textId="21949765" w:rsidR="007E17B4" w:rsidRPr="006436EE" w:rsidRDefault="007E17B4" w:rsidP="007E17B4">
      <w:pPr>
        <w:tabs>
          <w:tab w:val="left" w:pos="990"/>
        </w:tabs>
        <w:spacing w:after="0" w:line="240" w:lineRule="auto"/>
        <w:ind w:hanging="540"/>
        <w:rPr>
          <w:rFonts w:cs="Times New Roman"/>
          <w:szCs w:val="24"/>
        </w:rPr>
      </w:pPr>
      <w:r w:rsidRPr="00CA7FF2">
        <w:rPr>
          <w:rFonts w:cs="Times New Roman"/>
          <w:iCs/>
          <w:szCs w:val="24"/>
        </w:rPr>
        <w:t>Respondent</w:t>
      </w:r>
      <w:r w:rsidRPr="00CA7FF2">
        <w:rPr>
          <w:rFonts w:cs="Times New Roman"/>
          <w:szCs w:val="24"/>
        </w:rPr>
        <w:t xml:space="preserve">:      </w:t>
      </w:r>
      <w:r>
        <w:rPr>
          <w:rFonts w:cs="Times New Roman"/>
          <w:szCs w:val="24"/>
        </w:rPr>
        <w:t>Tory Hastings</w:t>
      </w:r>
    </w:p>
    <w:p w14:paraId="2EAAE48B" w14:textId="0B0D5CAF" w:rsidR="007E17B4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</w:t>
      </w:r>
      <w:r>
        <w:rPr>
          <w:rFonts w:cs="Times New Roman"/>
          <w:szCs w:val="24"/>
        </w:rPr>
        <w:t>Manager, Business Support Analytics</w:t>
      </w:r>
    </w:p>
    <w:p w14:paraId="6DB31A6D" w14:textId="049F01A9" w:rsidR="007E17B4" w:rsidRPr="006436EE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Project &amp; Finance Controls</w:t>
      </w:r>
    </w:p>
    <w:p w14:paraId="6D0E6B2E" w14:textId="77777777" w:rsidR="007E17B4" w:rsidRPr="00CA7FF2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Southern Company Gas</w:t>
      </w:r>
    </w:p>
    <w:p w14:paraId="784818D4" w14:textId="77777777" w:rsidR="007E17B4" w:rsidRDefault="007E17B4" w:rsidP="00457309">
      <w:pPr>
        <w:rPr>
          <w:iCs/>
        </w:rPr>
      </w:pPr>
    </w:p>
    <w:p w14:paraId="53526B66" w14:textId="39A19796" w:rsidR="005A58B6" w:rsidRDefault="005A58B6">
      <w:pPr>
        <w:rPr>
          <w:rFonts w:cs="Times New Roman"/>
        </w:rPr>
      </w:pPr>
      <w:r>
        <w:rPr>
          <w:rFonts w:cs="Times New Roman"/>
        </w:rPr>
        <w:br w:type="page"/>
      </w:r>
    </w:p>
    <w:p w14:paraId="07411602" w14:textId="77777777" w:rsidR="005A58B6" w:rsidRDefault="005A58B6">
      <w:pPr>
        <w:rPr>
          <w:rFonts w:cs="Times New Roman"/>
        </w:rPr>
      </w:pPr>
    </w:p>
    <w:p w14:paraId="566E134A" w14:textId="0BA27D57" w:rsidR="005A58B6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  <w:r>
        <w:rPr>
          <w:rFonts w:cs="Times New Roman"/>
        </w:rPr>
        <w:t>STF-17-2</w:t>
      </w:r>
      <w:r>
        <w:rPr>
          <w:rFonts w:cs="Times New Roman"/>
        </w:rPr>
        <w:tab/>
        <w:t xml:space="preserve">Regarding the Amazon project, Oracle ID 190011, provided in </w:t>
      </w:r>
      <w:r w:rsidRPr="00864C4D">
        <w:rPr>
          <w:rFonts w:cs="Times New Roman"/>
          <w:b/>
          <w:bCs/>
        </w:rPr>
        <w:t>Table-</w:t>
      </w:r>
      <w:r>
        <w:rPr>
          <w:rFonts w:cs="Times New Roman"/>
          <w:b/>
          <w:bCs/>
        </w:rPr>
        <w:t>ECON-</w:t>
      </w:r>
      <w:r w:rsidRPr="00864C4D">
        <w:rPr>
          <w:rFonts w:cs="Times New Roman"/>
          <w:b/>
          <w:bCs/>
        </w:rPr>
        <w:t>1</w:t>
      </w:r>
      <w:r>
        <w:rPr>
          <w:rFonts w:cs="Times New Roman"/>
        </w:rPr>
        <w:t>, AGL had mentioned a Phase 2 in its 1</w:t>
      </w:r>
      <w:r w:rsidRPr="00166B21">
        <w:rPr>
          <w:rFonts w:cs="Times New Roman"/>
          <w:vertAlign w:val="superscript"/>
        </w:rPr>
        <w:t>st</w:t>
      </w:r>
      <w:r>
        <w:rPr>
          <w:rFonts w:cs="Times New Roman"/>
        </w:rPr>
        <w:t xml:space="preserve"> Q 2024 report. In the ECON-1 filing request and Final Order approving this project, there was no mention about phases. Has the Amazon project exceeded the estimated cost of $7.5 million in costs and exceeded the 23,000 foot of 6 inch steel that was approved to be installed?</w:t>
      </w:r>
    </w:p>
    <w:p w14:paraId="57E6EE33" w14:textId="77777777" w:rsidR="005A58B6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</w:p>
    <w:p w14:paraId="0867A892" w14:textId="77777777" w:rsidR="005A58B6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</w:p>
    <w:p w14:paraId="135ACB60" w14:textId="77777777" w:rsidR="005A58B6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</w:p>
    <w:p w14:paraId="0A3FF07F" w14:textId="77777777" w:rsidR="005A58B6" w:rsidRDefault="005A58B6" w:rsidP="005A58B6">
      <w:pPr>
        <w:pStyle w:val="PlainText"/>
        <w:shd w:val="clear" w:color="auto" w:fill="BFBFBF" w:themeFill="background1" w:themeFillShade="BF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51F9DFA0" w14:textId="77777777" w:rsidR="005A58B6" w:rsidRDefault="005A58B6" w:rsidP="005A58B6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C1D321" w14:textId="2B730064" w:rsidR="00457309" w:rsidRPr="007D6ECA" w:rsidRDefault="00B3358B" w:rsidP="007E17B4">
      <w:pPr>
        <w:pStyle w:val="PlainText"/>
        <w:ind w:left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No.  </w:t>
      </w:r>
      <w:r w:rsidR="00457309">
        <w:rPr>
          <w:rFonts w:ascii="Times New Roman" w:hAnsi="Times New Roman" w:cs="Times New Roman"/>
          <w:sz w:val="24"/>
          <w:szCs w:val="24"/>
        </w:rPr>
        <w:t xml:space="preserve">The Amazon project has not exceeded the estimated cost of $7.5 million </w:t>
      </w:r>
      <w:r>
        <w:rPr>
          <w:rFonts w:ascii="Times New Roman" w:hAnsi="Times New Roman" w:cs="Times New Roman"/>
          <w:sz w:val="24"/>
          <w:szCs w:val="24"/>
        </w:rPr>
        <w:t xml:space="preserve">and has not </w:t>
      </w:r>
      <w:r w:rsidR="00457309">
        <w:rPr>
          <w:rFonts w:ascii="Times New Roman" w:hAnsi="Times New Roman" w:cs="Times New Roman"/>
          <w:sz w:val="24"/>
          <w:szCs w:val="24"/>
        </w:rPr>
        <w:t>exceeded the 23,000 f</w:t>
      </w:r>
      <w:r>
        <w:rPr>
          <w:rFonts w:ascii="Times New Roman" w:hAnsi="Times New Roman" w:cs="Times New Roman"/>
          <w:sz w:val="24"/>
          <w:szCs w:val="24"/>
        </w:rPr>
        <w:t>eet</w:t>
      </w:r>
      <w:r w:rsidR="00457309">
        <w:rPr>
          <w:rFonts w:ascii="Times New Roman" w:hAnsi="Times New Roman" w:cs="Times New Roman"/>
          <w:sz w:val="24"/>
          <w:szCs w:val="24"/>
        </w:rPr>
        <w:t xml:space="preserve"> of 6</w:t>
      </w:r>
      <w:r w:rsidR="00891748">
        <w:rPr>
          <w:rFonts w:ascii="Times New Roman" w:hAnsi="Times New Roman" w:cs="Times New Roman"/>
          <w:sz w:val="24"/>
          <w:szCs w:val="24"/>
        </w:rPr>
        <w:t>”</w:t>
      </w:r>
      <w:r w:rsidR="00457309">
        <w:rPr>
          <w:rFonts w:ascii="Times New Roman" w:hAnsi="Times New Roman" w:cs="Times New Roman"/>
          <w:sz w:val="24"/>
          <w:szCs w:val="24"/>
        </w:rPr>
        <w:t xml:space="preserve"> steel that was </w:t>
      </w:r>
      <w:r>
        <w:rPr>
          <w:rFonts w:ascii="Times New Roman" w:hAnsi="Times New Roman" w:cs="Times New Roman"/>
          <w:sz w:val="24"/>
          <w:szCs w:val="24"/>
        </w:rPr>
        <w:t>proposed</w:t>
      </w:r>
      <w:r w:rsidR="00457309">
        <w:rPr>
          <w:rFonts w:ascii="Times New Roman" w:hAnsi="Times New Roman" w:cs="Times New Roman"/>
          <w:sz w:val="24"/>
          <w:szCs w:val="24"/>
        </w:rPr>
        <w:t xml:space="preserve"> to be installed.</w:t>
      </w:r>
      <w:r>
        <w:rPr>
          <w:rFonts w:ascii="Times New Roman" w:hAnsi="Times New Roman" w:cs="Times New Roman"/>
          <w:sz w:val="24"/>
          <w:szCs w:val="24"/>
        </w:rPr>
        <w:t xml:space="preserve">  Please see response to Staff inquiry STF-15-2 in </w:t>
      </w:r>
      <w:r w:rsidR="007E17B4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ocket 41559.</w:t>
      </w:r>
    </w:p>
    <w:p w14:paraId="252245A4" w14:textId="77777777" w:rsidR="005A58B6" w:rsidRDefault="005A58B6" w:rsidP="005A58B6">
      <w:pPr>
        <w:spacing w:after="0" w:line="240" w:lineRule="auto"/>
        <w:ind w:left="720" w:firstLine="360"/>
      </w:pPr>
    </w:p>
    <w:p w14:paraId="2ED65D4D" w14:textId="77777777" w:rsidR="005A58B6" w:rsidRDefault="005A58B6" w:rsidP="005A58B6">
      <w:pPr>
        <w:spacing w:after="0" w:line="240" w:lineRule="auto"/>
      </w:pPr>
    </w:p>
    <w:p w14:paraId="4D263353" w14:textId="77777777" w:rsidR="007E17B4" w:rsidRPr="006436EE" w:rsidRDefault="007E17B4" w:rsidP="007E17B4">
      <w:pPr>
        <w:tabs>
          <w:tab w:val="left" w:pos="990"/>
        </w:tabs>
        <w:spacing w:after="0" w:line="240" w:lineRule="auto"/>
        <w:ind w:hanging="540"/>
        <w:rPr>
          <w:rFonts w:cs="Times New Roman"/>
          <w:szCs w:val="24"/>
        </w:rPr>
      </w:pPr>
      <w:r w:rsidRPr="00CA7FF2">
        <w:rPr>
          <w:rFonts w:cs="Times New Roman"/>
          <w:iCs/>
          <w:szCs w:val="24"/>
        </w:rPr>
        <w:t>Respondent</w:t>
      </w:r>
      <w:r w:rsidRPr="00CA7FF2">
        <w:rPr>
          <w:rFonts w:cs="Times New Roman"/>
          <w:szCs w:val="24"/>
        </w:rPr>
        <w:t xml:space="preserve">:      </w:t>
      </w:r>
      <w:r w:rsidRPr="006436EE">
        <w:rPr>
          <w:rFonts w:cs="Times New Roman"/>
          <w:szCs w:val="24"/>
        </w:rPr>
        <w:t>Billy Horne</w:t>
      </w:r>
    </w:p>
    <w:p w14:paraId="4D8BC3E1" w14:textId="77777777" w:rsidR="007E17B4" w:rsidRPr="006436EE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Director, Resource Planning and Economic Dev.</w:t>
      </w:r>
    </w:p>
    <w:p w14:paraId="05E66895" w14:textId="77777777" w:rsidR="007E17B4" w:rsidRPr="00CA7FF2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Southern Company Gas</w:t>
      </w:r>
    </w:p>
    <w:p w14:paraId="578FD224" w14:textId="77777777" w:rsidR="005A58B6" w:rsidRDefault="005A58B6" w:rsidP="005A58B6">
      <w:pPr>
        <w:spacing w:line="240" w:lineRule="auto"/>
        <w:ind w:left="1440" w:hanging="1440"/>
        <w:contextualSpacing/>
      </w:pPr>
    </w:p>
    <w:p w14:paraId="56E4ACDC" w14:textId="4E53753C" w:rsidR="007E17B4" w:rsidRPr="006436EE" w:rsidRDefault="007E17B4" w:rsidP="007E17B4">
      <w:pPr>
        <w:tabs>
          <w:tab w:val="left" w:pos="990"/>
        </w:tabs>
        <w:spacing w:after="0" w:line="240" w:lineRule="auto"/>
        <w:ind w:hanging="54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Tory Hastings</w:t>
      </w:r>
    </w:p>
    <w:p w14:paraId="1DC85794" w14:textId="77777777" w:rsidR="007E17B4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</w:t>
      </w:r>
      <w:r>
        <w:rPr>
          <w:rFonts w:cs="Times New Roman"/>
          <w:szCs w:val="24"/>
        </w:rPr>
        <w:t>Manager, Business Support Analytics</w:t>
      </w:r>
    </w:p>
    <w:p w14:paraId="29D49292" w14:textId="77777777" w:rsidR="007E17B4" w:rsidRPr="006436EE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Project &amp; Finance Controls</w:t>
      </w:r>
    </w:p>
    <w:p w14:paraId="5B07C1A8" w14:textId="77777777" w:rsidR="007E17B4" w:rsidRPr="00CA7FF2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Southern Company Gas</w:t>
      </w:r>
    </w:p>
    <w:p w14:paraId="246F24D4" w14:textId="77777777" w:rsidR="007E17B4" w:rsidRDefault="007E17B4" w:rsidP="005A58B6">
      <w:pPr>
        <w:spacing w:line="240" w:lineRule="auto"/>
        <w:ind w:left="1440" w:hanging="1440"/>
        <w:contextualSpacing/>
      </w:pPr>
    </w:p>
    <w:p w14:paraId="4439572E" w14:textId="72C56346" w:rsidR="005A58B6" w:rsidRDefault="005A58B6">
      <w:r>
        <w:br w:type="page"/>
      </w:r>
    </w:p>
    <w:p w14:paraId="514CFF15" w14:textId="3CB1FA5F" w:rsidR="005A58B6" w:rsidRPr="00166B21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  <w:r>
        <w:rPr>
          <w:rFonts w:cs="Times New Roman"/>
        </w:rPr>
        <w:lastRenderedPageBreak/>
        <w:t>STF-17-3</w:t>
      </w:r>
      <w:r>
        <w:rPr>
          <w:rFonts w:cs="Times New Roman"/>
        </w:rPr>
        <w:tab/>
        <w:t>In the ECON-1 1</w:t>
      </w:r>
      <w:r w:rsidRPr="00864C4D">
        <w:rPr>
          <w:rFonts w:cs="Times New Roman"/>
          <w:vertAlign w:val="superscript"/>
        </w:rPr>
        <w:t>st</w:t>
      </w:r>
      <w:r>
        <w:rPr>
          <w:rFonts w:cs="Times New Roman"/>
        </w:rPr>
        <w:t xml:space="preserve"> Q 2024 quarterly report filed on May 15, 2024, none of the projects in STF-17-1 were listed. Please explain why the projects in </w:t>
      </w:r>
      <w:r w:rsidRPr="00F41C82">
        <w:rPr>
          <w:rFonts w:cs="Times New Roman"/>
          <w:b/>
          <w:bCs/>
        </w:rPr>
        <w:t>Table-</w:t>
      </w:r>
      <w:r>
        <w:rPr>
          <w:rFonts w:cs="Times New Roman"/>
          <w:b/>
          <w:bCs/>
        </w:rPr>
        <w:t>ECON-</w:t>
      </w:r>
      <w:r w:rsidRPr="00F41C82">
        <w:rPr>
          <w:rFonts w:cs="Times New Roman"/>
          <w:b/>
          <w:bCs/>
        </w:rPr>
        <w:t>1</w:t>
      </w:r>
      <w:r>
        <w:rPr>
          <w:rFonts w:cs="Times New Roman"/>
        </w:rPr>
        <w:t xml:space="preserve"> weren’t included. </w:t>
      </w:r>
    </w:p>
    <w:p w14:paraId="11E29954" w14:textId="77777777" w:rsidR="005A58B6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</w:p>
    <w:p w14:paraId="53BE8FDA" w14:textId="77777777" w:rsidR="005A58B6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</w:p>
    <w:p w14:paraId="62CAAFC8" w14:textId="77777777" w:rsidR="005A58B6" w:rsidRDefault="005A58B6" w:rsidP="005A58B6">
      <w:pPr>
        <w:pStyle w:val="PlainText"/>
        <w:shd w:val="clear" w:color="auto" w:fill="BFBFBF" w:themeFill="background1" w:themeFillShade="BF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14C67682" w14:textId="77777777" w:rsidR="005A58B6" w:rsidRPr="007D6ECA" w:rsidRDefault="005A58B6" w:rsidP="005A58B6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8AB2E6" w14:textId="19E7D7EF" w:rsidR="0041677D" w:rsidRDefault="002B63DA" w:rsidP="007E17B4">
      <w:pPr>
        <w:spacing w:after="0" w:line="240" w:lineRule="auto"/>
        <w:ind w:left="1440"/>
        <w:jc w:val="both"/>
      </w:pPr>
      <w:r>
        <w:t xml:space="preserve">The projects referenced in the inquiry were in progress at the time the </w:t>
      </w:r>
      <w:r w:rsidR="0071437A">
        <w:t xml:space="preserve">ECON-1 rider was established.  It is AGL’s understanding that these projects </w:t>
      </w:r>
      <w:r w:rsidR="00FB1D7C">
        <w:t xml:space="preserve">were to remain in rate base, and that projects approved after </w:t>
      </w:r>
      <w:r w:rsidR="003049CE">
        <w:t xml:space="preserve">rider establishment would be recovered through the rider.  </w:t>
      </w:r>
      <w:r w:rsidR="00BF3C20">
        <w:t xml:space="preserve">Thus, future quarterly reports </w:t>
      </w:r>
      <w:r w:rsidR="00D71E4E">
        <w:t xml:space="preserve">would include post-rider approved projects.  </w:t>
      </w:r>
      <w:r w:rsidR="007E17B4">
        <w:t xml:space="preserve">AGL will include pre-rider projects in future quarterly reports. </w:t>
      </w:r>
      <w:r w:rsidR="00073004">
        <w:t xml:space="preserve"> </w:t>
      </w:r>
    </w:p>
    <w:p w14:paraId="5FF2F6C3" w14:textId="77777777" w:rsidR="0041677D" w:rsidRDefault="0041677D" w:rsidP="00457309">
      <w:pPr>
        <w:spacing w:after="0" w:line="240" w:lineRule="auto"/>
      </w:pPr>
    </w:p>
    <w:p w14:paraId="1BB9E5C6" w14:textId="77777777" w:rsidR="005A58B6" w:rsidRDefault="005A58B6" w:rsidP="00EF2A37">
      <w:pPr>
        <w:spacing w:after="0" w:line="240" w:lineRule="auto"/>
      </w:pPr>
    </w:p>
    <w:p w14:paraId="45B08D1C" w14:textId="77777777" w:rsidR="005A58B6" w:rsidRDefault="005A58B6" w:rsidP="005A58B6">
      <w:pPr>
        <w:spacing w:after="0" w:line="240" w:lineRule="auto"/>
      </w:pPr>
    </w:p>
    <w:p w14:paraId="1532B72C" w14:textId="77777777" w:rsidR="007E17B4" w:rsidRPr="006436EE" w:rsidRDefault="007E17B4" w:rsidP="007E17B4">
      <w:pPr>
        <w:tabs>
          <w:tab w:val="left" w:pos="990"/>
        </w:tabs>
        <w:spacing w:after="0" w:line="240" w:lineRule="auto"/>
        <w:ind w:hanging="540"/>
        <w:rPr>
          <w:rFonts w:cs="Times New Roman"/>
          <w:szCs w:val="24"/>
        </w:rPr>
      </w:pPr>
      <w:r w:rsidRPr="00CA7FF2">
        <w:rPr>
          <w:rFonts w:cs="Times New Roman"/>
          <w:iCs/>
          <w:szCs w:val="24"/>
        </w:rPr>
        <w:t>Respondent</w:t>
      </w:r>
      <w:r w:rsidRPr="00CA7FF2">
        <w:rPr>
          <w:rFonts w:cs="Times New Roman"/>
          <w:szCs w:val="24"/>
        </w:rPr>
        <w:t xml:space="preserve">:      </w:t>
      </w:r>
      <w:r w:rsidRPr="006436EE">
        <w:rPr>
          <w:rFonts w:cs="Times New Roman"/>
          <w:szCs w:val="24"/>
        </w:rPr>
        <w:t>Billy Horne</w:t>
      </w:r>
    </w:p>
    <w:p w14:paraId="55A9D49F" w14:textId="77777777" w:rsidR="007E17B4" w:rsidRPr="006436EE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Director, Resource Planning and Economic Dev.</w:t>
      </w:r>
    </w:p>
    <w:p w14:paraId="6F4EB618" w14:textId="77777777" w:rsidR="007E17B4" w:rsidRPr="00CA7FF2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Southern Company Gas</w:t>
      </w:r>
    </w:p>
    <w:p w14:paraId="4C6A10AD" w14:textId="77777777" w:rsidR="005A58B6" w:rsidRDefault="005A58B6">
      <w:pPr>
        <w:rPr>
          <w:rFonts w:cs="Times New Roman"/>
        </w:rPr>
      </w:pPr>
      <w:r>
        <w:rPr>
          <w:rFonts w:cs="Times New Roman"/>
        </w:rPr>
        <w:br w:type="page"/>
      </w:r>
    </w:p>
    <w:p w14:paraId="3D20F70B" w14:textId="518091E6" w:rsidR="005A58B6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  <w:r w:rsidRPr="00166B21">
        <w:rPr>
          <w:rFonts w:cs="Times New Roman"/>
        </w:rPr>
        <w:lastRenderedPageBreak/>
        <w:t>STF</w:t>
      </w:r>
      <w:r>
        <w:rPr>
          <w:rFonts w:cs="Times New Roman"/>
        </w:rPr>
        <w:t>-17-4</w:t>
      </w:r>
      <w:r>
        <w:rPr>
          <w:rFonts w:cs="Times New Roman"/>
        </w:rPr>
        <w:tab/>
        <w:t>Why had AGL filed the capital budget activity as trade secret when the dollar amounts were approved in a Commission order, and ratepayers are paying for actual costs? The trade secret affidavit gave no specific reasons why this data needs to be filed as a trade secret or the economic harm that would befall AGL if it were made public.</w:t>
      </w:r>
    </w:p>
    <w:p w14:paraId="7F9F1B00" w14:textId="77777777" w:rsidR="005A58B6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</w:p>
    <w:p w14:paraId="0999B919" w14:textId="77777777" w:rsidR="005A58B6" w:rsidRDefault="005A58B6" w:rsidP="005A58B6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5EB3C5" w14:textId="77777777" w:rsidR="005A58B6" w:rsidRDefault="005A58B6" w:rsidP="005A58B6">
      <w:pPr>
        <w:pStyle w:val="PlainText"/>
        <w:shd w:val="clear" w:color="auto" w:fill="BFBFBF" w:themeFill="background1" w:themeFillShade="BF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7123758A" w14:textId="77777777" w:rsidR="005A58B6" w:rsidRDefault="005A58B6" w:rsidP="005A58B6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7C7A094" w14:textId="7F68043D" w:rsidR="00B3358B" w:rsidRPr="007D6ECA" w:rsidRDefault="0034151A" w:rsidP="007E17B4">
      <w:pPr>
        <w:pStyle w:val="PlainText"/>
        <w:ind w:left="14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Pursuant to the Order establishing the ECON-1 rider, t</w:t>
      </w:r>
      <w:r w:rsidR="00FC1601">
        <w:rPr>
          <w:rFonts w:ascii="Times New Roman" w:hAnsi="Times New Roman" w:cs="Times New Roman"/>
          <w:sz w:val="24"/>
          <w:szCs w:val="24"/>
        </w:rPr>
        <w:t xml:space="preserve">his report is formatted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FC1601">
        <w:rPr>
          <w:rFonts w:ascii="Times New Roman" w:hAnsi="Times New Roman" w:cs="Times New Roman"/>
          <w:sz w:val="24"/>
          <w:szCs w:val="24"/>
        </w:rPr>
        <w:t xml:space="preserve">similar to </w:t>
      </w:r>
      <w:r w:rsidR="00690126">
        <w:rPr>
          <w:rFonts w:ascii="Times New Roman" w:hAnsi="Times New Roman" w:cs="Times New Roman"/>
          <w:sz w:val="24"/>
          <w:szCs w:val="24"/>
        </w:rPr>
        <w:t xml:space="preserve">the SRR </w:t>
      </w:r>
      <w:r w:rsidR="006134B5">
        <w:rPr>
          <w:rFonts w:ascii="Times New Roman" w:hAnsi="Times New Roman" w:cs="Times New Roman"/>
          <w:sz w:val="24"/>
          <w:szCs w:val="24"/>
        </w:rPr>
        <w:t>report</w:t>
      </w:r>
      <w:r w:rsidR="00690126">
        <w:rPr>
          <w:rFonts w:ascii="Times New Roman" w:hAnsi="Times New Roman" w:cs="Times New Roman"/>
          <w:sz w:val="24"/>
          <w:szCs w:val="24"/>
        </w:rPr>
        <w:t xml:space="preserve">ing requirements” </w:t>
      </w:r>
      <w:r w:rsidR="001921B9">
        <w:rPr>
          <w:rFonts w:ascii="Times New Roman" w:hAnsi="Times New Roman" w:cs="Times New Roman"/>
          <w:sz w:val="24"/>
          <w:szCs w:val="24"/>
        </w:rPr>
        <w:t>(</w:t>
      </w:r>
      <w:r w:rsidR="007E17B4">
        <w:rPr>
          <w:rFonts w:ascii="Times New Roman" w:hAnsi="Times New Roman" w:cs="Times New Roman"/>
          <w:sz w:val="24"/>
          <w:szCs w:val="24"/>
        </w:rPr>
        <w:t xml:space="preserve">See </w:t>
      </w:r>
      <w:r w:rsidR="001921B9">
        <w:rPr>
          <w:rFonts w:ascii="Times New Roman" w:hAnsi="Times New Roman" w:cs="Times New Roman"/>
          <w:sz w:val="24"/>
          <w:szCs w:val="24"/>
        </w:rPr>
        <w:t>Order</w:t>
      </w:r>
      <w:r w:rsidR="007E17B4">
        <w:rPr>
          <w:rFonts w:ascii="Times New Roman" w:hAnsi="Times New Roman" w:cs="Times New Roman"/>
          <w:sz w:val="24"/>
          <w:szCs w:val="24"/>
        </w:rPr>
        <w:t xml:space="preserve"> Page 3,</w:t>
      </w:r>
      <w:r w:rsidR="001921B9">
        <w:rPr>
          <w:rFonts w:ascii="Times New Roman" w:hAnsi="Times New Roman" w:cs="Times New Roman"/>
          <w:sz w:val="24"/>
          <w:szCs w:val="24"/>
        </w:rPr>
        <w:t xml:space="preserve"> Section IV)</w:t>
      </w:r>
      <w:r w:rsidR="007E17B4">
        <w:rPr>
          <w:rFonts w:ascii="Times New Roman" w:hAnsi="Times New Roman" w:cs="Times New Roman"/>
          <w:sz w:val="24"/>
          <w:szCs w:val="24"/>
        </w:rPr>
        <w:t xml:space="preserve">, therefore the </w:t>
      </w:r>
      <w:r w:rsidR="00D26523">
        <w:rPr>
          <w:rFonts w:ascii="Times New Roman" w:hAnsi="Times New Roman" w:cs="Times New Roman"/>
          <w:sz w:val="24"/>
          <w:szCs w:val="24"/>
        </w:rPr>
        <w:t xml:space="preserve">ECON-1 quarterly report is filed trade secret. </w:t>
      </w:r>
      <w:r w:rsidR="007E17B4">
        <w:rPr>
          <w:rFonts w:ascii="Times New Roman" w:hAnsi="Times New Roman" w:cs="Times New Roman"/>
          <w:sz w:val="24"/>
          <w:szCs w:val="24"/>
        </w:rPr>
        <w:t>The quarterly</w:t>
      </w:r>
      <w:r w:rsidR="00DC5DD1">
        <w:rPr>
          <w:rFonts w:ascii="Times New Roman" w:hAnsi="Times New Roman" w:cs="Times New Roman"/>
          <w:sz w:val="24"/>
          <w:szCs w:val="24"/>
        </w:rPr>
        <w:t xml:space="preserve"> SRR reports </w:t>
      </w:r>
      <w:r w:rsidR="002A66F8">
        <w:rPr>
          <w:rFonts w:ascii="Times New Roman" w:hAnsi="Times New Roman" w:cs="Times New Roman"/>
          <w:sz w:val="24"/>
          <w:szCs w:val="24"/>
        </w:rPr>
        <w:t>are</w:t>
      </w:r>
      <w:r w:rsidR="006134B5">
        <w:rPr>
          <w:rFonts w:ascii="Times New Roman" w:hAnsi="Times New Roman" w:cs="Times New Roman"/>
          <w:sz w:val="24"/>
          <w:szCs w:val="24"/>
        </w:rPr>
        <w:t xml:space="preserve"> filed trade secret.  </w:t>
      </w:r>
      <w:r w:rsidR="00D26523">
        <w:rPr>
          <w:rFonts w:ascii="Times New Roman" w:hAnsi="Times New Roman" w:cs="Times New Roman"/>
          <w:sz w:val="24"/>
          <w:szCs w:val="24"/>
        </w:rPr>
        <w:t xml:space="preserve">For example, please see document 218795 filed in Docket 43820. </w:t>
      </w:r>
      <w:r w:rsidR="006134B5">
        <w:rPr>
          <w:rFonts w:ascii="Times New Roman" w:hAnsi="Times New Roman" w:cs="Times New Roman"/>
          <w:sz w:val="24"/>
          <w:szCs w:val="24"/>
        </w:rPr>
        <w:t xml:space="preserve">AGL is willing to discuss </w:t>
      </w:r>
      <w:r w:rsidR="00DC5DD1">
        <w:rPr>
          <w:rFonts w:ascii="Times New Roman" w:hAnsi="Times New Roman" w:cs="Times New Roman"/>
          <w:sz w:val="24"/>
          <w:szCs w:val="24"/>
        </w:rPr>
        <w:t xml:space="preserve">future </w:t>
      </w:r>
      <w:r w:rsidR="005F1C35">
        <w:rPr>
          <w:rFonts w:ascii="Times New Roman" w:hAnsi="Times New Roman" w:cs="Times New Roman"/>
          <w:sz w:val="24"/>
          <w:szCs w:val="24"/>
        </w:rPr>
        <w:t xml:space="preserve">report </w:t>
      </w:r>
      <w:r w:rsidR="00D26523">
        <w:rPr>
          <w:rFonts w:ascii="Times New Roman" w:hAnsi="Times New Roman" w:cs="Times New Roman"/>
          <w:sz w:val="24"/>
          <w:szCs w:val="24"/>
        </w:rPr>
        <w:t>filing format with Staff.</w:t>
      </w:r>
    </w:p>
    <w:p w14:paraId="40624A72" w14:textId="77777777" w:rsidR="005A58B6" w:rsidRDefault="005A58B6" w:rsidP="005A58B6">
      <w:pPr>
        <w:spacing w:after="0" w:line="240" w:lineRule="auto"/>
        <w:ind w:left="720" w:firstLine="360"/>
      </w:pPr>
    </w:p>
    <w:p w14:paraId="15CEC4AB" w14:textId="77777777" w:rsidR="005A58B6" w:rsidRDefault="005A58B6" w:rsidP="005A58B6">
      <w:pPr>
        <w:spacing w:after="0" w:line="240" w:lineRule="auto"/>
      </w:pPr>
    </w:p>
    <w:p w14:paraId="30238261" w14:textId="6D9E9BAC" w:rsidR="007E17B4" w:rsidRPr="006436EE" w:rsidRDefault="000E317A" w:rsidP="007E17B4">
      <w:pPr>
        <w:tabs>
          <w:tab w:val="left" w:pos="990"/>
        </w:tabs>
        <w:spacing w:after="0" w:line="240" w:lineRule="auto"/>
        <w:ind w:hanging="540"/>
        <w:rPr>
          <w:rFonts w:cs="Times New Roman"/>
          <w:szCs w:val="24"/>
        </w:rPr>
      </w:pPr>
      <w:r>
        <w:rPr>
          <w:iCs/>
        </w:rPr>
        <w:tab/>
      </w:r>
      <w:r w:rsidR="007E17B4" w:rsidRPr="00CA7FF2">
        <w:rPr>
          <w:rFonts w:cs="Times New Roman"/>
          <w:iCs/>
          <w:szCs w:val="24"/>
        </w:rPr>
        <w:t>Respondent</w:t>
      </w:r>
      <w:r w:rsidR="007E17B4" w:rsidRPr="00CA7FF2">
        <w:rPr>
          <w:rFonts w:cs="Times New Roman"/>
          <w:szCs w:val="24"/>
        </w:rPr>
        <w:t xml:space="preserve">:    </w:t>
      </w:r>
      <w:r w:rsidR="007E17B4" w:rsidRPr="006436EE">
        <w:rPr>
          <w:rFonts w:cs="Times New Roman"/>
          <w:szCs w:val="24"/>
        </w:rPr>
        <w:t>Billy Horne</w:t>
      </w:r>
    </w:p>
    <w:p w14:paraId="5D4D8F84" w14:textId="5F22F566" w:rsidR="007E17B4" w:rsidRPr="006436EE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436EE">
        <w:rPr>
          <w:rFonts w:cs="Times New Roman"/>
          <w:szCs w:val="24"/>
        </w:rPr>
        <w:t>Director, Resource Planning and Economic Dev.</w:t>
      </w:r>
    </w:p>
    <w:p w14:paraId="03879159" w14:textId="61323B8A" w:rsidR="007E17B4" w:rsidRPr="00CA7FF2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436EE">
        <w:rPr>
          <w:rFonts w:cs="Times New Roman"/>
          <w:szCs w:val="24"/>
        </w:rPr>
        <w:t>Southern Company Gas</w:t>
      </w:r>
    </w:p>
    <w:p w14:paraId="2BA05B89" w14:textId="02DFC75F" w:rsidR="005A58B6" w:rsidRDefault="005A58B6" w:rsidP="007E17B4">
      <w:pPr>
        <w:tabs>
          <w:tab w:val="left" w:pos="990"/>
        </w:tabs>
        <w:spacing w:after="0" w:line="240" w:lineRule="auto"/>
        <w:ind w:hanging="540"/>
        <w:rPr>
          <w:rFonts w:cs="Times New Roman"/>
        </w:rPr>
      </w:pPr>
    </w:p>
    <w:p w14:paraId="740E7ED9" w14:textId="14312DA6" w:rsidR="005A58B6" w:rsidRDefault="005A58B6">
      <w:pPr>
        <w:rPr>
          <w:rFonts w:cs="Times New Roman"/>
        </w:rPr>
      </w:pPr>
      <w:r>
        <w:rPr>
          <w:rFonts w:cs="Times New Roman"/>
        </w:rPr>
        <w:br w:type="page"/>
      </w:r>
    </w:p>
    <w:p w14:paraId="34B23E6F" w14:textId="6B254E67" w:rsidR="005A58B6" w:rsidRPr="009E5F1A" w:rsidRDefault="005A58B6" w:rsidP="005A58B6">
      <w:pPr>
        <w:spacing w:line="240" w:lineRule="auto"/>
        <w:ind w:left="1440" w:hanging="1440"/>
        <w:contextualSpacing/>
        <w:rPr>
          <w:rFonts w:cs="Times New Roman"/>
        </w:rPr>
      </w:pPr>
      <w:r>
        <w:rPr>
          <w:rFonts w:cs="Times New Roman"/>
        </w:rPr>
        <w:lastRenderedPageBreak/>
        <w:t>STF-17-5</w:t>
      </w:r>
      <w:r>
        <w:rPr>
          <w:rFonts w:cs="Times New Roman"/>
        </w:rPr>
        <w:tab/>
        <w:t>On October 1, 2024, does AGL plan to file for a surcharge recovery dollar amount for ECON-1 projects to be effective on January 1, 2025.</w:t>
      </w:r>
    </w:p>
    <w:p w14:paraId="26A64E6E" w14:textId="77777777" w:rsidR="00735724" w:rsidRDefault="00735724" w:rsidP="007D6ECA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E59BD2" w14:textId="51575D5C" w:rsidR="00FF4EA7" w:rsidRDefault="00FF4EA7" w:rsidP="00FF4EA7">
      <w:pPr>
        <w:pStyle w:val="PlainText"/>
        <w:shd w:val="clear" w:color="auto" w:fill="BFBFBF" w:themeFill="background1" w:themeFillShade="BF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789A08AE" w14:textId="77777777" w:rsidR="00DC12CC" w:rsidRPr="007D6ECA" w:rsidRDefault="00DC12CC" w:rsidP="007D6ECA">
      <w:pPr>
        <w:pStyle w:val="PlainText"/>
        <w:ind w:left="1440" w:hanging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9A8BC2" w14:textId="3EDAF75D" w:rsidR="00CA5A83" w:rsidRDefault="00B3358B" w:rsidP="007E17B4">
      <w:pPr>
        <w:spacing w:after="0" w:line="240" w:lineRule="auto"/>
        <w:ind w:left="1440"/>
        <w:jc w:val="both"/>
      </w:pPr>
      <w:r>
        <w:t xml:space="preserve">Yes. </w:t>
      </w:r>
      <w:r w:rsidR="00920B97">
        <w:t xml:space="preserve"> AGL will file </w:t>
      </w:r>
      <w:r w:rsidR="00BD3DCC">
        <w:t>a surcharge recovery amount for ECON-1 projects to be effective January 1, 2025</w:t>
      </w:r>
      <w:r w:rsidR="007E17B4">
        <w:t>, on or before O</w:t>
      </w:r>
      <w:r w:rsidR="00BD3DCC">
        <w:t>ctober 1, 2024.</w:t>
      </w:r>
    </w:p>
    <w:p w14:paraId="76E2800F" w14:textId="77777777" w:rsidR="00FF4EA7" w:rsidRDefault="00FF4EA7" w:rsidP="007E27DF">
      <w:pPr>
        <w:spacing w:after="0" w:line="240" w:lineRule="auto"/>
      </w:pPr>
    </w:p>
    <w:p w14:paraId="675610D3" w14:textId="7DBC97A4" w:rsidR="0058317C" w:rsidRDefault="000E317A" w:rsidP="005A58B6">
      <w:pPr>
        <w:tabs>
          <w:tab w:val="left" w:pos="990"/>
        </w:tabs>
        <w:spacing w:after="0" w:line="240" w:lineRule="auto"/>
        <w:ind w:hanging="540"/>
      </w:pPr>
      <w:r>
        <w:rPr>
          <w:iCs/>
        </w:rPr>
        <w:tab/>
      </w:r>
    </w:p>
    <w:p w14:paraId="78C70234" w14:textId="77777777" w:rsidR="007E17B4" w:rsidRPr="006436EE" w:rsidRDefault="007E17B4" w:rsidP="007E17B4">
      <w:pPr>
        <w:tabs>
          <w:tab w:val="left" w:pos="990"/>
        </w:tabs>
        <w:spacing w:after="0" w:line="240" w:lineRule="auto"/>
        <w:ind w:hanging="540"/>
        <w:rPr>
          <w:rFonts w:cs="Times New Roman"/>
          <w:szCs w:val="24"/>
        </w:rPr>
      </w:pPr>
      <w:r w:rsidRPr="00CA7FF2">
        <w:rPr>
          <w:rFonts w:cs="Times New Roman"/>
          <w:iCs/>
          <w:szCs w:val="24"/>
        </w:rPr>
        <w:t>Respondent</w:t>
      </w:r>
      <w:r w:rsidRPr="00CA7FF2">
        <w:rPr>
          <w:rFonts w:cs="Times New Roman"/>
          <w:szCs w:val="24"/>
        </w:rPr>
        <w:t xml:space="preserve">:      </w:t>
      </w:r>
      <w:r w:rsidRPr="006436EE">
        <w:rPr>
          <w:rFonts w:cs="Times New Roman"/>
          <w:szCs w:val="24"/>
        </w:rPr>
        <w:t>Billy Horne</w:t>
      </w:r>
    </w:p>
    <w:p w14:paraId="05AC7450" w14:textId="77777777" w:rsidR="007E17B4" w:rsidRPr="006436EE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Director, Resource Planning and Economic Dev.</w:t>
      </w:r>
    </w:p>
    <w:p w14:paraId="43F6D86F" w14:textId="77777777" w:rsidR="007E17B4" w:rsidRPr="00CA7FF2" w:rsidRDefault="007E17B4" w:rsidP="007E17B4">
      <w:pPr>
        <w:tabs>
          <w:tab w:val="left" w:pos="1260"/>
        </w:tabs>
        <w:spacing w:after="0" w:line="240" w:lineRule="auto"/>
        <w:rPr>
          <w:rFonts w:cs="Times New Roman"/>
          <w:szCs w:val="24"/>
        </w:rPr>
      </w:pPr>
      <w:r w:rsidRPr="006436EE">
        <w:rPr>
          <w:rFonts w:cs="Times New Roman"/>
          <w:szCs w:val="24"/>
        </w:rPr>
        <w:t xml:space="preserve">                 Southern Company Gas</w:t>
      </w:r>
    </w:p>
    <w:p w14:paraId="69D56082" w14:textId="0BE6802C" w:rsidR="00735724" w:rsidRDefault="00735724" w:rsidP="005A58B6">
      <w:pPr>
        <w:tabs>
          <w:tab w:val="left" w:pos="924"/>
        </w:tabs>
        <w:rPr>
          <w:szCs w:val="24"/>
        </w:rPr>
      </w:pPr>
    </w:p>
    <w:sectPr w:rsidR="00735724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05877" w14:textId="77777777" w:rsidR="00F70F81" w:rsidRDefault="00F70F81" w:rsidP="00132E09">
      <w:pPr>
        <w:spacing w:after="0" w:line="240" w:lineRule="auto"/>
      </w:pPr>
      <w:r>
        <w:separator/>
      </w:r>
    </w:p>
  </w:endnote>
  <w:endnote w:type="continuationSeparator" w:id="0">
    <w:p w14:paraId="29688218" w14:textId="77777777" w:rsidR="00F70F81" w:rsidRDefault="00F70F81" w:rsidP="00132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08384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ABF011" w14:textId="15916DC9" w:rsidR="002A3E0D" w:rsidRPr="002A3E0D" w:rsidRDefault="002A3E0D">
            <w:pPr>
              <w:pStyle w:val="Footer"/>
              <w:jc w:val="center"/>
            </w:pPr>
            <w:r w:rsidRPr="002A3E0D">
              <w:t xml:space="preserve">Page </w:t>
            </w:r>
            <w:r w:rsidRPr="002A3E0D">
              <w:rPr>
                <w:szCs w:val="24"/>
              </w:rPr>
              <w:fldChar w:fldCharType="begin"/>
            </w:r>
            <w:r w:rsidRPr="002A3E0D">
              <w:instrText xml:space="preserve"> PAGE </w:instrText>
            </w:r>
            <w:r w:rsidRPr="002A3E0D">
              <w:rPr>
                <w:szCs w:val="24"/>
              </w:rPr>
              <w:fldChar w:fldCharType="separate"/>
            </w:r>
            <w:r w:rsidRPr="002A3E0D">
              <w:rPr>
                <w:noProof/>
              </w:rPr>
              <w:t>2</w:t>
            </w:r>
            <w:r w:rsidRPr="002A3E0D">
              <w:rPr>
                <w:szCs w:val="24"/>
              </w:rPr>
              <w:fldChar w:fldCharType="end"/>
            </w:r>
            <w:r w:rsidRPr="002A3E0D">
              <w:t xml:space="preserve"> of </w:t>
            </w:r>
            <w:r w:rsidR="0038261D">
              <w:fldChar w:fldCharType="begin"/>
            </w:r>
            <w:r w:rsidR="0038261D">
              <w:instrText xml:space="preserve"> NUMPAGES  </w:instrText>
            </w:r>
            <w:r w:rsidR="0038261D">
              <w:fldChar w:fldCharType="separate"/>
            </w:r>
            <w:r w:rsidRPr="002A3E0D">
              <w:rPr>
                <w:noProof/>
              </w:rPr>
              <w:t>2</w:t>
            </w:r>
            <w:r w:rsidR="0038261D">
              <w:rPr>
                <w:noProof/>
              </w:rPr>
              <w:fldChar w:fldCharType="end"/>
            </w:r>
          </w:p>
        </w:sdtContent>
      </w:sdt>
    </w:sdtContent>
  </w:sdt>
  <w:p w14:paraId="4504A6E9" w14:textId="77777777" w:rsidR="00132E09" w:rsidRPr="002A3E0D" w:rsidRDefault="00132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724CD" w14:textId="77777777" w:rsidR="00F70F81" w:rsidRDefault="00F70F81" w:rsidP="00132E09">
      <w:pPr>
        <w:spacing w:after="0" w:line="240" w:lineRule="auto"/>
      </w:pPr>
      <w:r>
        <w:separator/>
      </w:r>
    </w:p>
  </w:footnote>
  <w:footnote w:type="continuationSeparator" w:id="0">
    <w:p w14:paraId="54D86787" w14:textId="77777777" w:rsidR="00F70F81" w:rsidRDefault="00F70F81" w:rsidP="00132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4E001" w14:textId="48F713E4" w:rsidR="002A3E0D" w:rsidRDefault="002A3E0D" w:rsidP="002A3E0D">
    <w:pPr>
      <w:pStyle w:val="Footer"/>
      <w:jc w:val="center"/>
    </w:pPr>
    <w:r>
      <w:t>Docket No. 41559</w:t>
    </w:r>
  </w:p>
  <w:p w14:paraId="49C2DCAE" w14:textId="2A4867C2" w:rsidR="002A3E0D" w:rsidRDefault="002A3E0D" w:rsidP="002A3E0D">
    <w:pPr>
      <w:pStyle w:val="Footer"/>
      <w:jc w:val="center"/>
    </w:pPr>
    <w:r>
      <w:t>Atlanta Gas Light Company’s ECON-1 Tariff</w:t>
    </w:r>
  </w:p>
  <w:p w14:paraId="2D93A1B1" w14:textId="0F0D487C" w:rsidR="002A3E0D" w:rsidRDefault="002A3E0D" w:rsidP="002A3E0D">
    <w:pPr>
      <w:pStyle w:val="Footer"/>
      <w:jc w:val="center"/>
    </w:pPr>
    <w:r>
      <w:t xml:space="preserve">Response to Staff’s </w:t>
    </w:r>
    <w:r w:rsidR="005A58B6">
      <w:t>Seventh</w:t>
    </w:r>
    <w:r>
      <w:t xml:space="preserve"> Set of Data Requests</w:t>
    </w:r>
  </w:p>
  <w:p w14:paraId="283C2A29" w14:textId="0F198B86" w:rsidR="002A3E0D" w:rsidRDefault="002A3E0D">
    <w:pPr>
      <w:pStyle w:val="Header"/>
    </w:pPr>
  </w:p>
  <w:p w14:paraId="34EAE425" w14:textId="77777777" w:rsidR="002A3E0D" w:rsidRDefault="002A3E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E76D3"/>
    <w:multiLevelType w:val="hybridMultilevel"/>
    <w:tmpl w:val="B5482398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B408E5"/>
    <w:multiLevelType w:val="hybridMultilevel"/>
    <w:tmpl w:val="30A6BE9E"/>
    <w:lvl w:ilvl="0" w:tplc="936AD6A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1EA7F44"/>
    <w:multiLevelType w:val="multilevel"/>
    <w:tmpl w:val="6E4A7806"/>
    <w:lvl w:ilvl="0">
      <w:start w:val="1"/>
      <w:numFmt w:val="decimal"/>
      <w:lvlText w:val="STF-1-%1"/>
      <w:lvlJc w:val="left"/>
      <w:pPr>
        <w:tabs>
          <w:tab w:val="num" w:pos="1944"/>
        </w:tabs>
        <w:ind w:left="1944" w:hanging="1944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BF0107"/>
    <w:multiLevelType w:val="hybridMultilevel"/>
    <w:tmpl w:val="5B0A15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A41CB"/>
    <w:multiLevelType w:val="hybridMultilevel"/>
    <w:tmpl w:val="352EABC2"/>
    <w:lvl w:ilvl="0" w:tplc="367EE9C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183A4E"/>
    <w:multiLevelType w:val="hybridMultilevel"/>
    <w:tmpl w:val="62F6F39E"/>
    <w:lvl w:ilvl="0" w:tplc="7F961CD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6AE16C2"/>
    <w:multiLevelType w:val="hybridMultilevel"/>
    <w:tmpl w:val="D280F188"/>
    <w:lvl w:ilvl="0" w:tplc="61BAA54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FBCDFE0" w:tentative="1">
      <w:start w:val="1"/>
      <w:numFmt w:val="lowerLetter"/>
      <w:lvlText w:val="%2."/>
      <w:lvlJc w:val="left"/>
      <w:pPr>
        <w:ind w:left="2520" w:hanging="360"/>
      </w:pPr>
    </w:lvl>
    <w:lvl w:ilvl="2" w:tplc="1220A3FE" w:tentative="1">
      <w:start w:val="1"/>
      <w:numFmt w:val="lowerRoman"/>
      <w:lvlText w:val="%3."/>
      <w:lvlJc w:val="right"/>
      <w:pPr>
        <w:ind w:left="3240" w:hanging="180"/>
      </w:pPr>
    </w:lvl>
    <w:lvl w:ilvl="3" w:tplc="C756D7FE" w:tentative="1">
      <w:start w:val="1"/>
      <w:numFmt w:val="decimal"/>
      <w:lvlText w:val="%4."/>
      <w:lvlJc w:val="left"/>
      <w:pPr>
        <w:ind w:left="3960" w:hanging="360"/>
      </w:pPr>
    </w:lvl>
    <w:lvl w:ilvl="4" w:tplc="B8B8ECD6" w:tentative="1">
      <w:start w:val="1"/>
      <w:numFmt w:val="lowerLetter"/>
      <w:lvlText w:val="%5."/>
      <w:lvlJc w:val="left"/>
      <w:pPr>
        <w:ind w:left="4680" w:hanging="360"/>
      </w:pPr>
    </w:lvl>
    <w:lvl w:ilvl="5" w:tplc="5C4A1D12" w:tentative="1">
      <w:start w:val="1"/>
      <w:numFmt w:val="lowerRoman"/>
      <w:lvlText w:val="%6."/>
      <w:lvlJc w:val="right"/>
      <w:pPr>
        <w:ind w:left="5400" w:hanging="180"/>
      </w:pPr>
    </w:lvl>
    <w:lvl w:ilvl="6" w:tplc="BDE23D72" w:tentative="1">
      <w:start w:val="1"/>
      <w:numFmt w:val="decimal"/>
      <w:lvlText w:val="%7."/>
      <w:lvlJc w:val="left"/>
      <w:pPr>
        <w:ind w:left="6120" w:hanging="360"/>
      </w:pPr>
    </w:lvl>
    <w:lvl w:ilvl="7" w:tplc="B6D80B60" w:tentative="1">
      <w:start w:val="1"/>
      <w:numFmt w:val="lowerLetter"/>
      <w:lvlText w:val="%8."/>
      <w:lvlJc w:val="left"/>
      <w:pPr>
        <w:ind w:left="6840" w:hanging="360"/>
      </w:pPr>
    </w:lvl>
    <w:lvl w:ilvl="8" w:tplc="D4925D30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7CA1DE8"/>
    <w:multiLevelType w:val="hybridMultilevel"/>
    <w:tmpl w:val="D688D334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C6368C6"/>
    <w:multiLevelType w:val="hybridMultilevel"/>
    <w:tmpl w:val="8F4859FC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2A27F83"/>
    <w:multiLevelType w:val="hybridMultilevel"/>
    <w:tmpl w:val="D1EE41D4"/>
    <w:lvl w:ilvl="0" w:tplc="B3EE3A2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5A92D11"/>
    <w:multiLevelType w:val="hybridMultilevel"/>
    <w:tmpl w:val="379482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25738"/>
    <w:multiLevelType w:val="hybridMultilevel"/>
    <w:tmpl w:val="A6802664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8FC758F"/>
    <w:multiLevelType w:val="hybridMultilevel"/>
    <w:tmpl w:val="9C1C7E26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F1732C1"/>
    <w:multiLevelType w:val="hybridMultilevel"/>
    <w:tmpl w:val="93CA2B3C"/>
    <w:lvl w:ilvl="0" w:tplc="EFD6AC98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F230A69"/>
    <w:multiLevelType w:val="hybridMultilevel"/>
    <w:tmpl w:val="49D62A46"/>
    <w:lvl w:ilvl="0" w:tplc="7F961CD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1217121"/>
    <w:multiLevelType w:val="hybridMultilevel"/>
    <w:tmpl w:val="3B64C6F6"/>
    <w:lvl w:ilvl="0" w:tplc="BD307D5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283788C"/>
    <w:multiLevelType w:val="hybridMultilevel"/>
    <w:tmpl w:val="B5482398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30F1030"/>
    <w:multiLevelType w:val="hybridMultilevel"/>
    <w:tmpl w:val="5E7E96FE"/>
    <w:lvl w:ilvl="0" w:tplc="7F961CD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31314C4"/>
    <w:multiLevelType w:val="hybridMultilevel"/>
    <w:tmpl w:val="9C1C7E26"/>
    <w:lvl w:ilvl="0" w:tplc="8B2CB5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1021DC4"/>
    <w:multiLevelType w:val="hybridMultilevel"/>
    <w:tmpl w:val="2D2083DE"/>
    <w:lvl w:ilvl="0" w:tplc="7F961CD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12B4E13"/>
    <w:multiLevelType w:val="hybridMultilevel"/>
    <w:tmpl w:val="843C83F4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62A76FA"/>
    <w:multiLevelType w:val="singleLevel"/>
    <w:tmpl w:val="3E06DA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50748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3877109">
    <w:abstractNumId w:val="15"/>
  </w:num>
  <w:num w:numId="3" w16cid:durableId="1290746204">
    <w:abstractNumId w:val="1"/>
  </w:num>
  <w:num w:numId="4" w16cid:durableId="14967078">
    <w:abstractNumId w:val="21"/>
  </w:num>
  <w:num w:numId="5" w16cid:durableId="1385258431">
    <w:abstractNumId w:val="20"/>
  </w:num>
  <w:num w:numId="6" w16cid:durableId="1220941937">
    <w:abstractNumId w:val="9"/>
  </w:num>
  <w:num w:numId="7" w16cid:durableId="1450008319">
    <w:abstractNumId w:val="12"/>
  </w:num>
  <w:num w:numId="8" w16cid:durableId="561137967">
    <w:abstractNumId w:val="11"/>
  </w:num>
  <w:num w:numId="9" w16cid:durableId="1845433796">
    <w:abstractNumId w:val="0"/>
  </w:num>
  <w:num w:numId="10" w16cid:durableId="1975866992">
    <w:abstractNumId w:val="18"/>
  </w:num>
  <w:num w:numId="11" w16cid:durableId="1679120090">
    <w:abstractNumId w:val="16"/>
  </w:num>
  <w:num w:numId="12" w16cid:durableId="555044802">
    <w:abstractNumId w:val="5"/>
  </w:num>
  <w:num w:numId="13" w16cid:durableId="1209805767">
    <w:abstractNumId w:val="14"/>
  </w:num>
  <w:num w:numId="14" w16cid:durableId="1506439539">
    <w:abstractNumId w:val="19"/>
  </w:num>
  <w:num w:numId="15" w16cid:durableId="1007442964">
    <w:abstractNumId w:val="17"/>
  </w:num>
  <w:num w:numId="16" w16cid:durableId="1346175769">
    <w:abstractNumId w:val="3"/>
  </w:num>
  <w:num w:numId="17" w16cid:durableId="298582486">
    <w:abstractNumId w:val="10"/>
  </w:num>
  <w:num w:numId="18" w16cid:durableId="564485801">
    <w:abstractNumId w:val="4"/>
  </w:num>
  <w:num w:numId="19" w16cid:durableId="1021663522">
    <w:abstractNumId w:val="7"/>
  </w:num>
  <w:num w:numId="20" w16cid:durableId="1253130152">
    <w:abstractNumId w:val="13"/>
  </w:num>
  <w:num w:numId="21" w16cid:durableId="5139990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9090918">
    <w:abstractNumId w:val="8"/>
  </w:num>
  <w:num w:numId="23" w16cid:durableId="19336636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E74"/>
    <w:rsid w:val="000256D7"/>
    <w:rsid w:val="00057945"/>
    <w:rsid w:val="0006600C"/>
    <w:rsid w:val="0007089F"/>
    <w:rsid w:val="00073004"/>
    <w:rsid w:val="000860BC"/>
    <w:rsid w:val="00095C4E"/>
    <w:rsid w:val="000A7A96"/>
    <w:rsid w:val="000B1C22"/>
    <w:rsid w:val="000C7107"/>
    <w:rsid w:val="000E317A"/>
    <w:rsid w:val="00112E74"/>
    <w:rsid w:val="00124924"/>
    <w:rsid w:val="001325AE"/>
    <w:rsid w:val="00132E09"/>
    <w:rsid w:val="00132FF1"/>
    <w:rsid w:val="00142D02"/>
    <w:rsid w:val="001921B9"/>
    <w:rsid w:val="0019288F"/>
    <w:rsid w:val="001A1199"/>
    <w:rsid w:val="001B2B63"/>
    <w:rsid w:val="001F0E1A"/>
    <w:rsid w:val="001F507C"/>
    <w:rsid w:val="00203C61"/>
    <w:rsid w:val="00216671"/>
    <w:rsid w:val="00222BB8"/>
    <w:rsid w:val="0023258C"/>
    <w:rsid w:val="002342B0"/>
    <w:rsid w:val="002414A8"/>
    <w:rsid w:val="0026049C"/>
    <w:rsid w:val="00273E91"/>
    <w:rsid w:val="00295DCA"/>
    <w:rsid w:val="002A3E0D"/>
    <w:rsid w:val="002A66F8"/>
    <w:rsid w:val="002B58B4"/>
    <w:rsid w:val="002B63DA"/>
    <w:rsid w:val="002C1D04"/>
    <w:rsid w:val="002D2EF4"/>
    <w:rsid w:val="002E2643"/>
    <w:rsid w:val="002E6514"/>
    <w:rsid w:val="002F0027"/>
    <w:rsid w:val="00302B69"/>
    <w:rsid w:val="0030480E"/>
    <w:rsid w:val="003049CE"/>
    <w:rsid w:val="00304C43"/>
    <w:rsid w:val="00311E2A"/>
    <w:rsid w:val="0032247E"/>
    <w:rsid w:val="00323436"/>
    <w:rsid w:val="00324E24"/>
    <w:rsid w:val="0033048C"/>
    <w:rsid w:val="0034151A"/>
    <w:rsid w:val="00382264"/>
    <w:rsid w:val="0038261D"/>
    <w:rsid w:val="00393767"/>
    <w:rsid w:val="003C6F4B"/>
    <w:rsid w:val="003C7327"/>
    <w:rsid w:val="003F29D5"/>
    <w:rsid w:val="003F5B12"/>
    <w:rsid w:val="003F7046"/>
    <w:rsid w:val="0041137D"/>
    <w:rsid w:val="00411710"/>
    <w:rsid w:val="004140C3"/>
    <w:rsid w:val="0041677D"/>
    <w:rsid w:val="004268EE"/>
    <w:rsid w:val="004406C2"/>
    <w:rsid w:val="00442AF2"/>
    <w:rsid w:val="00454C2C"/>
    <w:rsid w:val="00457309"/>
    <w:rsid w:val="00493C50"/>
    <w:rsid w:val="004B41B1"/>
    <w:rsid w:val="004B4A34"/>
    <w:rsid w:val="004C238B"/>
    <w:rsid w:val="004C368D"/>
    <w:rsid w:val="004E4FB4"/>
    <w:rsid w:val="004E5F99"/>
    <w:rsid w:val="00513BA2"/>
    <w:rsid w:val="00514FDD"/>
    <w:rsid w:val="0054534D"/>
    <w:rsid w:val="0056289B"/>
    <w:rsid w:val="00576931"/>
    <w:rsid w:val="0058317C"/>
    <w:rsid w:val="00591707"/>
    <w:rsid w:val="005A58B6"/>
    <w:rsid w:val="005A785A"/>
    <w:rsid w:val="005B55AC"/>
    <w:rsid w:val="005C3168"/>
    <w:rsid w:val="005D489E"/>
    <w:rsid w:val="005D7E1E"/>
    <w:rsid w:val="005F1C35"/>
    <w:rsid w:val="005F47AD"/>
    <w:rsid w:val="006134B5"/>
    <w:rsid w:val="006144C2"/>
    <w:rsid w:val="00654C17"/>
    <w:rsid w:val="00661C92"/>
    <w:rsid w:val="00690126"/>
    <w:rsid w:val="006915BF"/>
    <w:rsid w:val="006B138F"/>
    <w:rsid w:val="006B336F"/>
    <w:rsid w:val="006E39B1"/>
    <w:rsid w:val="006E3B92"/>
    <w:rsid w:val="00714131"/>
    <w:rsid w:val="0071437A"/>
    <w:rsid w:val="007313D4"/>
    <w:rsid w:val="007319CF"/>
    <w:rsid w:val="0073219F"/>
    <w:rsid w:val="00735724"/>
    <w:rsid w:val="0075240E"/>
    <w:rsid w:val="00764E0F"/>
    <w:rsid w:val="007764A9"/>
    <w:rsid w:val="007A40BD"/>
    <w:rsid w:val="007B065A"/>
    <w:rsid w:val="007D217E"/>
    <w:rsid w:val="007D3E18"/>
    <w:rsid w:val="007D6ECA"/>
    <w:rsid w:val="007E0DA2"/>
    <w:rsid w:val="007E17B4"/>
    <w:rsid w:val="007E27DF"/>
    <w:rsid w:val="00815382"/>
    <w:rsid w:val="00820387"/>
    <w:rsid w:val="00821D0C"/>
    <w:rsid w:val="00822FE9"/>
    <w:rsid w:val="00823054"/>
    <w:rsid w:val="00826BD1"/>
    <w:rsid w:val="00845304"/>
    <w:rsid w:val="008457F6"/>
    <w:rsid w:val="00873F40"/>
    <w:rsid w:val="008864D5"/>
    <w:rsid w:val="00891748"/>
    <w:rsid w:val="00893726"/>
    <w:rsid w:val="008D45EC"/>
    <w:rsid w:val="008F1317"/>
    <w:rsid w:val="00920B97"/>
    <w:rsid w:val="00927974"/>
    <w:rsid w:val="00941595"/>
    <w:rsid w:val="00945FBB"/>
    <w:rsid w:val="00956BAE"/>
    <w:rsid w:val="0096313E"/>
    <w:rsid w:val="0096562E"/>
    <w:rsid w:val="00972884"/>
    <w:rsid w:val="0097471E"/>
    <w:rsid w:val="0098061B"/>
    <w:rsid w:val="00995418"/>
    <w:rsid w:val="00997CEA"/>
    <w:rsid w:val="009C1D72"/>
    <w:rsid w:val="009F705D"/>
    <w:rsid w:val="00A0065D"/>
    <w:rsid w:val="00A14202"/>
    <w:rsid w:val="00A31E68"/>
    <w:rsid w:val="00A449E4"/>
    <w:rsid w:val="00A53039"/>
    <w:rsid w:val="00A671D5"/>
    <w:rsid w:val="00A76A17"/>
    <w:rsid w:val="00A81388"/>
    <w:rsid w:val="00A92045"/>
    <w:rsid w:val="00A9417E"/>
    <w:rsid w:val="00AB1874"/>
    <w:rsid w:val="00AB4CB7"/>
    <w:rsid w:val="00AD3A9D"/>
    <w:rsid w:val="00AD3D48"/>
    <w:rsid w:val="00AE6DCD"/>
    <w:rsid w:val="00AF564C"/>
    <w:rsid w:val="00B103A9"/>
    <w:rsid w:val="00B1441A"/>
    <w:rsid w:val="00B3358B"/>
    <w:rsid w:val="00B425C1"/>
    <w:rsid w:val="00B5493E"/>
    <w:rsid w:val="00B77ABB"/>
    <w:rsid w:val="00BC71FD"/>
    <w:rsid w:val="00BD3DCC"/>
    <w:rsid w:val="00BF3C20"/>
    <w:rsid w:val="00C12A77"/>
    <w:rsid w:val="00C40DA7"/>
    <w:rsid w:val="00C53A6C"/>
    <w:rsid w:val="00C75303"/>
    <w:rsid w:val="00C820EE"/>
    <w:rsid w:val="00C93DDD"/>
    <w:rsid w:val="00CA326E"/>
    <w:rsid w:val="00CA5A83"/>
    <w:rsid w:val="00CB6CAF"/>
    <w:rsid w:val="00CB74DD"/>
    <w:rsid w:val="00CB774A"/>
    <w:rsid w:val="00CD2268"/>
    <w:rsid w:val="00CD52CA"/>
    <w:rsid w:val="00CD68F1"/>
    <w:rsid w:val="00D26523"/>
    <w:rsid w:val="00D353DD"/>
    <w:rsid w:val="00D44CE9"/>
    <w:rsid w:val="00D52F13"/>
    <w:rsid w:val="00D6254E"/>
    <w:rsid w:val="00D71E4E"/>
    <w:rsid w:val="00D72B3A"/>
    <w:rsid w:val="00D94E8A"/>
    <w:rsid w:val="00DA2C24"/>
    <w:rsid w:val="00DB572B"/>
    <w:rsid w:val="00DB6B77"/>
    <w:rsid w:val="00DC022D"/>
    <w:rsid w:val="00DC12CC"/>
    <w:rsid w:val="00DC5DD1"/>
    <w:rsid w:val="00DE7F3B"/>
    <w:rsid w:val="00DF0B00"/>
    <w:rsid w:val="00E01F05"/>
    <w:rsid w:val="00E04BDD"/>
    <w:rsid w:val="00E04C96"/>
    <w:rsid w:val="00E0705A"/>
    <w:rsid w:val="00E679C8"/>
    <w:rsid w:val="00E830A3"/>
    <w:rsid w:val="00E9136E"/>
    <w:rsid w:val="00EA0F41"/>
    <w:rsid w:val="00EA1169"/>
    <w:rsid w:val="00EB4287"/>
    <w:rsid w:val="00EB6877"/>
    <w:rsid w:val="00EC76EB"/>
    <w:rsid w:val="00ED5BA9"/>
    <w:rsid w:val="00ED72B5"/>
    <w:rsid w:val="00EE156D"/>
    <w:rsid w:val="00EF2A37"/>
    <w:rsid w:val="00EF2ED3"/>
    <w:rsid w:val="00EF7F09"/>
    <w:rsid w:val="00F0024A"/>
    <w:rsid w:val="00F24B2A"/>
    <w:rsid w:val="00F340C4"/>
    <w:rsid w:val="00F70F81"/>
    <w:rsid w:val="00F749B0"/>
    <w:rsid w:val="00F77390"/>
    <w:rsid w:val="00F86FC8"/>
    <w:rsid w:val="00F905B6"/>
    <w:rsid w:val="00FA43FE"/>
    <w:rsid w:val="00FB1D7C"/>
    <w:rsid w:val="00FB7EBF"/>
    <w:rsid w:val="00FC1601"/>
    <w:rsid w:val="00FC20E7"/>
    <w:rsid w:val="00FC5739"/>
    <w:rsid w:val="00FD1621"/>
    <w:rsid w:val="00FD1DB9"/>
    <w:rsid w:val="00FF05C5"/>
    <w:rsid w:val="00FF4EA7"/>
    <w:rsid w:val="00FF6139"/>
    <w:rsid w:val="00FF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5607B"/>
  <w15:docId w15:val="{3672FE53-05DC-4EE9-9602-8FC7B412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semiHidden/>
    <w:unhideWhenUsed/>
    <w:qFormat/>
    <w:rsid w:val="00F905B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12E74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12E74"/>
    <w:rPr>
      <w:rFonts w:ascii="Calibri" w:hAnsi="Calibri"/>
      <w:sz w:val="22"/>
      <w:szCs w:val="21"/>
    </w:rPr>
  </w:style>
  <w:style w:type="paragraph" w:styleId="BodyTextIndent">
    <w:name w:val="Body Text Indent"/>
    <w:basedOn w:val="Normal"/>
    <w:link w:val="BodyTextIndentChar"/>
    <w:semiHidden/>
    <w:rsid w:val="009C1D72"/>
    <w:pPr>
      <w:tabs>
        <w:tab w:val="left" w:pos="-1440"/>
      </w:tabs>
      <w:spacing w:after="0" w:line="240" w:lineRule="auto"/>
      <w:ind w:left="2160" w:hanging="2160"/>
      <w:jc w:val="both"/>
    </w:pPr>
    <w:rPr>
      <w:rFonts w:eastAsia="Times New Roman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9C1D72"/>
    <w:rPr>
      <w:rFonts w:eastAsia="Times New Roman"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B7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4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4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4D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4D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4C96"/>
    <w:pPr>
      <w:ind w:left="720"/>
      <w:contextualSpacing/>
    </w:pPr>
  </w:style>
  <w:style w:type="paragraph" w:styleId="EnvelopeAddress">
    <w:name w:val="envelope address"/>
    <w:basedOn w:val="Normal"/>
    <w:uiPriority w:val="99"/>
    <w:semiHidden/>
    <w:unhideWhenUsed/>
    <w:rsid w:val="00FD1DB9"/>
    <w:pPr>
      <w:framePr w:w="7920" w:h="1980" w:hRule="exact" w:hSpace="180" w:wrap="auto" w:hAnchor="page" w:xAlign="center" w:yAlign="bottom"/>
      <w:spacing w:after="0" w:line="240" w:lineRule="auto"/>
      <w:ind w:left="2880" w:hanging="720"/>
    </w:pPr>
    <w:rPr>
      <w:rFonts w:ascii="Arial" w:eastAsiaTheme="majorEastAsia" w:hAnsi="Arial" w:cstheme="majorBidi"/>
      <w:snapToGrid w:val="0"/>
      <w:sz w:val="20"/>
      <w:szCs w:val="24"/>
    </w:rPr>
  </w:style>
  <w:style w:type="paragraph" w:styleId="Revision">
    <w:name w:val="Revision"/>
    <w:hidden/>
    <w:uiPriority w:val="99"/>
    <w:semiHidden/>
    <w:rsid w:val="00B77AB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32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E09"/>
  </w:style>
  <w:style w:type="paragraph" w:styleId="Footer">
    <w:name w:val="footer"/>
    <w:basedOn w:val="Normal"/>
    <w:link w:val="FooterChar"/>
    <w:uiPriority w:val="99"/>
    <w:unhideWhenUsed/>
    <w:rsid w:val="00132E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E09"/>
  </w:style>
  <w:style w:type="character" w:customStyle="1" w:styleId="Heading3Char">
    <w:name w:val="Heading 3 Char"/>
    <w:basedOn w:val="DefaultParagraphFont"/>
    <w:link w:val="Heading3"/>
    <w:semiHidden/>
    <w:rsid w:val="00F905B6"/>
    <w:rPr>
      <w:rFonts w:ascii="Arial" w:eastAsia="Times New Roman" w:hAnsi="Arial" w:cs="Arial"/>
      <w:b/>
      <w:bCs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45730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1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F67F0FD2C2B3489C096059EA189D82" ma:contentTypeVersion="18" ma:contentTypeDescription="Create a new document." ma:contentTypeScope="" ma:versionID="d182eccf544faf9282b38543cabfa4cd">
  <xsd:schema xmlns:xsd="http://www.w3.org/2001/XMLSchema" xmlns:xs="http://www.w3.org/2001/XMLSchema" xmlns:p="http://schemas.microsoft.com/office/2006/metadata/properties" xmlns:ns2="c184932c-3ce0-4a9e-badd-93d77d4529c2" xmlns:ns3="c35d2383-efc3-4985-865b-fd553d867ba9" xmlns:ns4="f3351373-2b59-4a46-949d-f42afd8cf7c2" targetNamespace="http://schemas.microsoft.com/office/2006/metadata/properties" ma:root="true" ma:fieldsID="a4badc458c2c49c3b8e07e8f9246af18" ns2:_="" ns3:_="" ns4:_="">
    <xsd:import namespace="c184932c-3ce0-4a9e-badd-93d77d4529c2"/>
    <xsd:import namespace="c35d2383-efc3-4985-865b-fd553d867ba9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4932c-3ce0-4a9e-badd-93d77d4529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d2383-efc3-4985-865b-fd553d867ba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c1a5f3-35f6-4882-a9de-4aba86235d7d}" ma:internalName="TaxCatchAll" ma:showField="CatchAllData" ma:web="05a1e80f-9623-48be-93f8-80ea9204d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51373-2b59-4a46-949d-f42afd8cf7c2"/>
    <lcf76f155ced4ddcb4097134ff3c332f xmlns="c184932c-3ce0-4a9e-badd-93d77d4529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3D7381-A787-4882-A2C8-0F59F8DE83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BC8C80-7CA7-40DC-8B0E-B78D3A820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4932c-3ce0-4a9e-badd-93d77d4529c2"/>
    <ds:schemaRef ds:uri="c35d2383-efc3-4985-865b-fd553d867ba9"/>
    <ds:schemaRef ds:uri="f3351373-2b59-4a46-949d-f42afd8cf7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52605-FABC-40A1-B7E9-0487F81DFA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D3D3E6-89B9-4481-80B6-D06B54EF5B37}">
  <ds:schemaRefs>
    <ds:schemaRef ds:uri="http://schemas.microsoft.com/office/2006/metadata/properties"/>
    <ds:schemaRef ds:uri="http://schemas.microsoft.com/office/infopath/2007/PartnerControls"/>
    <ds:schemaRef ds:uri="f3351373-2b59-4a46-949d-f42afd8cf7c2"/>
    <ds:schemaRef ds:uri="c184932c-3ce0-4a9e-badd-93d77d4529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Randy1</dc:creator>
  <cp:lastModifiedBy>King-Cofer, Suebrina</cp:lastModifiedBy>
  <cp:revision>33</cp:revision>
  <cp:lastPrinted>2020-03-09T16:08:00Z</cp:lastPrinted>
  <dcterms:created xsi:type="dcterms:W3CDTF">2024-07-24T13:59:00Z</dcterms:created>
  <dcterms:modified xsi:type="dcterms:W3CDTF">2024-07-25T17:49:00Z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2022-11-14T17:53:01Z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da8aa1e5-d4e6-460d-b4c8-5172367a1ad9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0x010100B2F67F0FD2C2B3489C096059EA189D82</vt:lpwstr>
  </property>
</Properties>
</file>